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92" w:rsidRPr="00BF077B" w:rsidRDefault="00962992" w:rsidP="00962992">
      <w:pPr>
        <w:pStyle w:val="ATSNormal"/>
        <w:rPr>
          <w:rStyle w:val="Ttulodellibro1"/>
        </w:rPr>
      </w:pPr>
    </w:p>
    <w:p w:rsidR="00962992" w:rsidRDefault="00962992" w:rsidP="00962992">
      <w:pPr>
        <w:rPr>
          <w:b/>
          <w:u w:val="single"/>
        </w:rPr>
      </w:pPr>
    </w:p>
    <w:p w:rsidR="00962992" w:rsidRDefault="00962992" w:rsidP="00962992">
      <w:pPr>
        <w:rPr>
          <w:b/>
          <w:u w:val="single"/>
        </w:rPr>
      </w:pPr>
    </w:p>
    <w:p w:rsidR="00962992" w:rsidRDefault="00962992" w:rsidP="00962992">
      <w:pPr>
        <w:rPr>
          <w:b/>
          <w:u w:val="single"/>
        </w:rPr>
      </w:pPr>
    </w:p>
    <w:p w:rsidR="00962992" w:rsidRDefault="00962992" w:rsidP="00962992">
      <w:pPr>
        <w:rPr>
          <w:b/>
          <w:u w:val="single"/>
        </w:rPr>
      </w:pPr>
    </w:p>
    <w:p w:rsidR="00962992" w:rsidRDefault="00962992" w:rsidP="00962992">
      <w:pPr>
        <w:rPr>
          <w:b/>
          <w:u w:val="single"/>
        </w:rPr>
      </w:pPr>
    </w:p>
    <w:p w:rsidR="00962992" w:rsidRDefault="00962992" w:rsidP="00962992">
      <w:pPr>
        <w:pStyle w:val="ATSTitle"/>
      </w:pPr>
      <w:r>
        <w:t xml:space="preserve">Révision du plan de gestion de la zone spécialement protégée de l'Antarctique (ZSPA) n°169 Baie Amanda, Côte Ingrid Christensen, Terre Princesse-Élizabeth, Antarctique de l'Est </w:t>
      </w:r>
    </w:p>
    <w:p w:rsidR="00962992" w:rsidRPr="0057246E" w:rsidRDefault="00962992" w:rsidP="00962992">
      <w:pPr>
        <w:pStyle w:val="ATSTitle"/>
      </w:pPr>
    </w:p>
    <w:p w:rsidR="00962992" w:rsidRPr="0057246E" w:rsidRDefault="00962992" w:rsidP="00962992">
      <w:pPr>
        <w:jc w:val="center"/>
      </w:pPr>
    </w:p>
    <w:p w:rsidR="00962992" w:rsidRPr="002F0A13" w:rsidRDefault="00962992" w:rsidP="00962992"/>
    <w:p w:rsidR="00962992" w:rsidRDefault="00962992" w:rsidP="00962992">
      <w:pPr>
        <w:jc w:val="center"/>
      </w:pPr>
    </w:p>
    <w:p w:rsidR="00962992" w:rsidRDefault="00962992" w:rsidP="00962992">
      <w:pPr>
        <w:jc w:val="center"/>
      </w:pPr>
    </w:p>
    <w:p w:rsidR="00962992" w:rsidRDefault="00962992" w:rsidP="00962992">
      <w:pPr>
        <w:jc w:val="center"/>
      </w:pPr>
    </w:p>
    <w:p w:rsidR="00962992" w:rsidRDefault="00962992" w:rsidP="00962992">
      <w:pPr>
        <w:jc w:val="center"/>
      </w:pPr>
    </w:p>
    <w:p w:rsidR="00962992" w:rsidRPr="00C26F2D" w:rsidRDefault="00962992" w:rsidP="00962992">
      <w:pPr>
        <w:jc w:val="center"/>
      </w:pPr>
    </w:p>
    <w:p w:rsidR="00962992" w:rsidRPr="0057246E" w:rsidRDefault="00962992" w:rsidP="00962992"/>
    <w:p w:rsidR="00962992" w:rsidRDefault="00962992" w:rsidP="00962992">
      <w:pPr>
        <w:sectPr w:rsidR="00962992" w:rsidSect="00962992">
          <w:headerReference w:type="default" r:id="rId7"/>
          <w:footerReference w:type="even" r:id="rId8"/>
          <w:footerReference w:type="defaul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62992" w:rsidRDefault="00962992" w:rsidP="00962992">
      <w:pPr>
        <w:pStyle w:val="ATSHeading1"/>
      </w:pPr>
      <w:r>
        <w:lastRenderedPageBreak/>
        <w:t>Révision du plan de gestion de la zone spécialement protégée de l'Antarctique (ZSPA) n°169 Baie Amanda, Côte Ingrid Christensen, Terre Princesse-Élizabeth, Antarctique de l'Est</w:t>
      </w:r>
    </w:p>
    <w:p w:rsidR="00962992" w:rsidRDefault="00962992" w:rsidP="00962992">
      <w:pPr>
        <w:pStyle w:val="ATSNormal"/>
        <w:jc w:val="center"/>
        <w:rPr>
          <w:b/>
        </w:rPr>
      </w:pPr>
      <w:r>
        <w:rPr>
          <w:b/>
        </w:rPr>
        <w:t xml:space="preserve">Document de travail </w:t>
      </w:r>
      <w:r w:rsidR="000C0489">
        <w:rPr>
          <w:b/>
        </w:rPr>
        <w:t xml:space="preserve">(WP) </w:t>
      </w:r>
      <w:r>
        <w:rPr>
          <w:b/>
        </w:rPr>
        <w:t>présenté par l'Australie et la Chine</w:t>
      </w:r>
    </w:p>
    <w:p w:rsidR="00962992" w:rsidRDefault="00962992" w:rsidP="00962992">
      <w:pPr>
        <w:pStyle w:val="ATSHeading2"/>
        <w:rPr>
          <w:rFonts w:cs="Arial"/>
        </w:rPr>
      </w:pPr>
      <w:r>
        <w:t>Résumé</w:t>
      </w:r>
    </w:p>
    <w:p w:rsidR="00962992" w:rsidRDefault="000C0489" w:rsidP="00962992">
      <w:pPr>
        <w:pStyle w:val="ATSNormal"/>
        <w:jc w:val="both"/>
      </w:pPr>
      <w:r>
        <w:t>Conformément à l’Article 6.3 de l’A</w:t>
      </w:r>
      <w:r w:rsidR="00962992">
        <w:t>nnexe V du Protocole au Traité sur l’Antarctique relatif à la protection de l’environnement, l’Australie et la Chine ont procédé à la révision quinquennale du plan de gestion de la ZSPA n°169 Baie Amanda. L'Australie et la Chine recommandent au CPE d'approuver le plan de gestion révisé pour cette zone, qui figure en p</w:t>
      </w:r>
      <w:r w:rsidR="00E77EA0">
        <w:t>ièce jointe au présent document.</w:t>
      </w:r>
      <w:r w:rsidR="00962992">
        <w:t xml:space="preserve"> Les révisions ont </w:t>
      </w:r>
      <w:r>
        <w:t>été réalisées conformément à l’A</w:t>
      </w:r>
      <w:r w:rsidR="00962992">
        <w:t xml:space="preserve">nnexe V et au </w:t>
      </w:r>
      <w:r w:rsidR="00962992">
        <w:rPr>
          <w:i/>
        </w:rPr>
        <w:t>Guide pour la préparation des plans de gestion des zones spécialement protégées en Antarctique</w:t>
      </w:r>
      <w:r w:rsidR="00962992">
        <w:t xml:space="preserve"> (dénommé « le Guide » dans le présent docum</w:t>
      </w:r>
      <w:r>
        <w:t>ent) annexé à la R</w:t>
      </w:r>
      <w:r w:rsidR="00962992">
        <w:t>ésolution 2 (2011). Dans les sections suivantes figure une présentation sommaire de la ZSPA ainsi que la description des amendements proposés à la suite de la révision du plan de gestion.</w:t>
      </w:r>
    </w:p>
    <w:p w:rsidR="00962992" w:rsidRDefault="00962992" w:rsidP="00962992">
      <w:pPr>
        <w:pStyle w:val="ATSHeading2"/>
      </w:pPr>
      <w:r>
        <w:t>Contexte</w:t>
      </w:r>
    </w:p>
    <w:p w:rsidR="00962992" w:rsidRDefault="00962992" w:rsidP="00962992">
      <w:pPr>
        <w:pStyle w:val="ATSNormal"/>
        <w:jc w:val="both"/>
      </w:pPr>
      <w:r>
        <w:t>La baie Amanda est située près de la baie Prydz sur la côte Ingrid Christensen de la Terre Princesse-Élizabeth, en Antarctique de l'Est (69°15'S, 76°49'E). Elle a été désignée par le biais de la Mesure 3 (2008), à la suite d'une proposition de l'Australie et de la Chine destinée principalement à protéger la colonie nicheuse qui compte plusieurs milliers de couples de manchots empereurs (</w:t>
      </w:r>
      <w:r>
        <w:rPr>
          <w:i/>
        </w:rPr>
        <w:t>Aptenodytes forsteri</w:t>
      </w:r>
      <w:r w:rsidR="00E77EA0">
        <w:t xml:space="preserve">). </w:t>
      </w:r>
      <w:r>
        <w:t>La colonie possède une valeu</w:t>
      </w:r>
      <w:r w:rsidR="00E77EA0">
        <w:t xml:space="preserve">r scientifique et intrinsèque. </w:t>
      </w:r>
      <w:r>
        <w:t>La collecte de données de suivi de long terme de la population dans la zone est utile pour mener des études comparatives sur d'autres colonies de manchots empe</w:t>
      </w:r>
      <w:r w:rsidR="00E77EA0">
        <w:t xml:space="preserve">reurs en Antarctique de l'Est. </w:t>
      </w:r>
      <w:r>
        <w:t>La ZSPA n° 169 est classée pour une période indéfinie. Un plan de gestion révisé pour la ZSPA n°169 se trouve en pièce jointe A.</w:t>
      </w:r>
    </w:p>
    <w:p w:rsidR="00962992" w:rsidRDefault="00962992" w:rsidP="00962992">
      <w:pPr>
        <w:pStyle w:val="ATSHeading2"/>
      </w:pPr>
      <w:r>
        <w:t>Récapitulatif des amendements au plan de gestion pour la ZSPA n°169</w:t>
      </w:r>
    </w:p>
    <w:p w:rsidR="00962992" w:rsidRDefault="00962992" w:rsidP="00962992">
      <w:pPr>
        <w:pStyle w:val="ATSBullet1"/>
        <w:numPr>
          <w:ilvl w:val="0"/>
          <w:numId w:val="22"/>
        </w:numPr>
      </w:pPr>
      <w:r>
        <w:t xml:space="preserve">Les limites de la zone n’ont pas été modifiées. </w:t>
      </w:r>
    </w:p>
    <w:p w:rsidR="00962992" w:rsidRDefault="00962992" w:rsidP="00962992">
      <w:pPr>
        <w:pStyle w:val="ATSBullet1"/>
        <w:numPr>
          <w:ilvl w:val="0"/>
          <w:numId w:val="22"/>
        </w:numPr>
      </w:pPr>
      <w:r>
        <w:t>La description de la zone n’a pas été fondamentalement modifiée.</w:t>
      </w:r>
    </w:p>
    <w:p w:rsidR="00962992" w:rsidRDefault="003D39D4" w:rsidP="00962992">
      <w:pPr>
        <w:pStyle w:val="ATSBullet1"/>
        <w:numPr>
          <w:ilvl w:val="0"/>
          <w:numId w:val="22"/>
        </w:numPr>
      </w:pPr>
      <w:r>
        <w:t>La S</w:t>
      </w:r>
      <w:r w:rsidR="00962992">
        <w:t xml:space="preserve">ection 2 a été modifiée pour tenir compte de l'objectif suivant : limiter les possibilités d'introduction d'agents pathogènes qui peuvent provoquer des maladies dans la colonie de manchots empereurs. </w:t>
      </w:r>
    </w:p>
    <w:p w:rsidR="00962992" w:rsidRDefault="003D39D4" w:rsidP="00962992">
      <w:pPr>
        <w:pStyle w:val="ATSBullet1"/>
        <w:numPr>
          <w:ilvl w:val="0"/>
          <w:numId w:val="22"/>
        </w:numPr>
      </w:pPr>
      <w:r>
        <w:t>La Section 3 et la S</w:t>
      </w:r>
      <w:r w:rsidR="00962992">
        <w:t xml:space="preserve">ection 7(ii) ont été modifiées pour tenir compte des nouvelles mesures et des mesures actualisées destinées à atténuer l'impact potentiel, sur la colonie de manchots empereurs, des opérations menées par hélicoptère. </w:t>
      </w:r>
    </w:p>
    <w:p w:rsidR="00962992" w:rsidRDefault="003D39D4" w:rsidP="00962992">
      <w:pPr>
        <w:pStyle w:val="ATSBullet1"/>
        <w:numPr>
          <w:ilvl w:val="0"/>
          <w:numId w:val="22"/>
        </w:numPr>
      </w:pPr>
      <w:r>
        <w:t>L'emplacement</w:t>
      </w:r>
      <w:r w:rsidR="00962992">
        <w:t xml:space="preserve"> de caméras automatiques - pour contrôler la colonie et l'état de </w:t>
      </w:r>
      <w:r>
        <w:t>la glace - est mentionné à la S</w:t>
      </w:r>
      <w:r w:rsidR="00962992">
        <w:t xml:space="preserve">ection 6(iii).  </w:t>
      </w:r>
    </w:p>
    <w:p w:rsidR="00962992" w:rsidRDefault="003D39D4" w:rsidP="00962992">
      <w:pPr>
        <w:pStyle w:val="ATSBullet1"/>
        <w:numPr>
          <w:ilvl w:val="0"/>
          <w:numId w:val="22"/>
        </w:numPr>
      </w:pPr>
      <w:r>
        <w:t>La S</w:t>
      </w:r>
      <w:r w:rsidR="00962992">
        <w:t xml:space="preserve">ection 7(iii) a été modifiée pour éviter que la </w:t>
      </w:r>
      <w:r>
        <w:t>colonie de manchots empereurs</w:t>
      </w:r>
      <w:r w:rsidR="00962992">
        <w:t xml:space="preserve"> soit exposée à des interférences humaines pendant les périodes particulièrement sensibles.  </w:t>
      </w:r>
    </w:p>
    <w:p w:rsidR="00962992" w:rsidRDefault="00962992" w:rsidP="00962992">
      <w:pPr>
        <w:pStyle w:val="ATSBullet1"/>
        <w:numPr>
          <w:ilvl w:val="0"/>
          <w:numId w:val="22"/>
        </w:numPr>
      </w:pPr>
      <w:r>
        <w:t xml:space="preserve">Des cartes actualisées et améliorées ont été ajoutées. </w:t>
      </w:r>
    </w:p>
    <w:p w:rsidR="00962992" w:rsidRDefault="00962992" w:rsidP="00962992">
      <w:pPr>
        <w:pStyle w:val="ATSBullet1"/>
        <w:numPr>
          <w:ilvl w:val="0"/>
          <w:numId w:val="22"/>
        </w:numPr>
      </w:pPr>
      <w:r>
        <w:t xml:space="preserve">Des modifications ont été apportées à la forme du </w:t>
      </w:r>
      <w:r w:rsidR="003D39D4">
        <w:t>document, notamment pour être cohérent avec le</w:t>
      </w:r>
      <w:r>
        <w:t xml:space="preserve"> Guide. </w:t>
      </w:r>
    </w:p>
    <w:p w:rsidR="00962992" w:rsidRDefault="00962992" w:rsidP="00962992">
      <w:pPr>
        <w:pStyle w:val="ATSHeading2"/>
      </w:pPr>
      <w:r>
        <w:t>Recommandation</w:t>
      </w:r>
    </w:p>
    <w:p w:rsidR="00962992" w:rsidRDefault="00962992" w:rsidP="00962992">
      <w:pPr>
        <w:pStyle w:val="ATSNormal"/>
      </w:pPr>
      <w:r>
        <w:t>L'Australie et la Chine recommandent au CPE d'approuver le plan de gestion révisé en pièce jointe pour la ZSPA n°169 Baie Amanda, Côte Ingrid Christensen, Terre Princesse-Élizabeth, Antarctique de l'Est (pièce jointe A).</w:t>
      </w:r>
    </w:p>
    <w:p w:rsidR="00962992" w:rsidRDefault="00962992" w:rsidP="00962992"/>
    <w:p w:rsidR="00962992" w:rsidRDefault="00962992" w:rsidP="00962992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5668"/>
      </w:tblGrid>
      <w:tr w:rsidR="00962992" w:rsidRPr="00CF468D" w:rsidTr="00962992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Heading1"/>
              <w:spacing w:line="276" w:lineRule="auto"/>
              <w:rPr>
                <w:snapToGrid w:val="0"/>
                <w:highlight w:val="yellow"/>
              </w:rPr>
            </w:pPr>
            <w:r>
              <w:t>ZSPA n°169 Baie Amanda, Côte Ingrid Christensen, Terre Princesse-Élizabeth, Antarctique de l'Est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>1. Une nouvelle ZSPA est-elle proposée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>2. Une nouvelle ZGSA est-elle proposée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>3. La proposition concerne-t-elle une ZSPA ou une ZSGA existante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Oui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Première désignation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Mesure 3 (2008)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Première adoption d’un plan de gestion 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Mesure 3 (2008)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Toutes les révisions du plan de gestion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Plan de gestion en cours 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Mesure 3 (2008)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Prorogations des dates d’expiration du plan de gestion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Renommée et re-numérotée en vertu de la Décision 1 (2002) comme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Title"/>
              <w:spacing w:line="276" w:lineRule="auto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Non applicable 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Autre(s) mesure(s</w:t>
            </w:r>
            <w:r w:rsidR="00E77EA0">
              <w:rPr>
                <w:i/>
              </w:rPr>
              <w:t>)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RPr="00CF468D" w:rsidTr="00962992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>4. Si la proposition contient une révision d’un plan de gestion existant, veuillez indiquer les types de modification qui y ont été apportés :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(i) S'agit-il d'</w:t>
            </w:r>
            <w:r w:rsidR="00B353F1">
              <w:rPr>
                <w:i/>
              </w:rPr>
              <w:t>une modification d'ordre majeur ou mineur</w:t>
            </w:r>
            <w:r>
              <w:rPr>
                <w:i/>
              </w:rPr>
              <w:t>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Mineur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(ii) les lignes de démarcation ou les coordonnées ont-elles été modifiées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</w:t>
            </w:r>
          </w:p>
        </w:tc>
      </w:tr>
      <w:tr w:rsidR="00962992" w:rsidRPr="00CF468D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(iii) les cartes ont-elles été modifiées ? Dans l’affirmative, des modifications ont-elles apportées aux légendes uniquement ou aux graphiques </w:t>
            </w:r>
            <w:r w:rsidR="00E77EA0">
              <w:rPr>
                <w:i/>
              </w:rPr>
              <w:t>également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 xml:space="preserve">Oui. Les modifications concernent </w:t>
            </w:r>
            <w:r w:rsidR="00E77EA0">
              <w:t>les légendes</w:t>
            </w:r>
            <w:r>
              <w:t xml:space="preserve"> et les graphiques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(iv) des modifications ont-elles été apportées à la description de la zone qui contribue à l’identification de son emplacement ou de ses lignes de démarcation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lastRenderedPageBreak/>
              <w:t>(v) des modifications qui ont un impact sur une autre ZSPA, une autre ZGSA ou un autre SMH qui se trouve à l’intérieur de la zone ou qui lui est adjacent ? Veuillez expliquer en particulier la fusion avec une zone ou un site existant, l’incorporation d’une zone ou d’un site existant ou l’abolition d’une zone ou d’un site existant.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</w:t>
            </w:r>
          </w:p>
        </w:tc>
      </w:tr>
      <w:tr w:rsidR="00962992" w:rsidRPr="00CF468D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(vi) Autres - bref résumé d'autres types de changements opérés, en indiquant les paragraphes du plan de gestion dans lesquels ces changements apparaissent.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</w:pPr>
            <w:r>
              <w:t xml:space="preserve">Les limites de la zone n’ont pas été modifiées. </w:t>
            </w:r>
          </w:p>
          <w:p w:rsidR="00962992" w:rsidRDefault="00962992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</w:pPr>
            <w:r>
              <w:t>La description de la zone n’a pas été fondamentalement modifiée.</w:t>
            </w:r>
          </w:p>
          <w:p w:rsidR="00962992" w:rsidRDefault="003D39D4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</w:pPr>
            <w:r>
              <w:t>La S</w:t>
            </w:r>
            <w:r w:rsidR="00962992">
              <w:t>ection 2 a été modifiée pour tenir compte de l'objectif suivant : limiter les possibilités d'introduction d'agents pathogènes qui peuvent provoquer des maladies dans la colonie de manchots empereurs.</w:t>
            </w:r>
          </w:p>
          <w:p w:rsidR="00962992" w:rsidRDefault="003D39D4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4F81BD"/>
                <w:sz w:val="26"/>
                <w:szCs w:val="26"/>
              </w:rPr>
            </w:pPr>
            <w:r>
              <w:t>La Section 3 et la S</w:t>
            </w:r>
            <w:r w:rsidR="00962992">
              <w:t>ection 7(ii) ont été modifiées pour tenir compte des nouvelles mesures et des mesures actualisées destinées à atténuer l'impact potentiel, sur la colonie de manchots empereurs, des opérations menées par hélicoptère.</w:t>
            </w:r>
          </w:p>
          <w:p w:rsidR="00962992" w:rsidRDefault="003D39D4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</w:pPr>
            <w:r>
              <w:t xml:space="preserve">L'emplacement </w:t>
            </w:r>
            <w:r w:rsidR="00962992">
              <w:t xml:space="preserve">de caméras automatiques - pour contrôler la colonie et l'état de </w:t>
            </w:r>
            <w:r>
              <w:t>la glace - est mentionné à la S</w:t>
            </w:r>
            <w:r w:rsidR="00962992">
              <w:t xml:space="preserve">ection 6(iii). </w:t>
            </w:r>
          </w:p>
          <w:p w:rsidR="00962992" w:rsidRDefault="003D39D4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</w:pPr>
            <w:r>
              <w:t>La S</w:t>
            </w:r>
            <w:r w:rsidR="00962992">
              <w:t xml:space="preserve">ection 7(iii) a été modifiée pour éviter que la colonie de manchots empereurs ne soit exposée à des interférences humaines pendant les périodes particulièrement sensibles. </w:t>
            </w:r>
          </w:p>
          <w:p w:rsidR="00962992" w:rsidRDefault="00962992" w:rsidP="00962992">
            <w:pPr>
              <w:pStyle w:val="ATSBullet1"/>
              <w:numPr>
                <w:ilvl w:val="0"/>
                <w:numId w:val="23"/>
              </w:numPr>
              <w:spacing w:line="276" w:lineRule="auto"/>
            </w:pPr>
            <w:r>
              <w:t xml:space="preserve">Des cartes actualisées et améliorées ont été ajoutées. </w:t>
            </w:r>
          </w:p>
          <w:p w:rsidR="00962992" w:rsidRDefault="00962992" w:rsidP="003D39D4">
            <w:pPr>
              <w:pStyle w:val="ATSBullet1"/>
              <w:numPr>
                <w:ilvl w:val="0"/>
                <w:numId w:val="22"/>
              </w:numPr>
            </w:pPr>
            <w:r>
              <w:t xml:space="preserve">Des modifications ont été apportées à la forme du document, </w:t>
            </w:r>
            <w:r w:rsidR="003D39D4">
              <w:t>notamment pour être cohérent avec le Guide</w:t>
            </w:r>
            <w:bookmarkStart w:id="0" w:name="_GoBack"/>
            <w:bookmarkEnd w:id="0"/>
            <w:r>
              <w:t xml:space="preserve">. 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>5. Si une nouvelle ZSPA ou ZGSA est proposée, contient-elle une zone marine 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>6. Dans l’affirmative, la proposition doit-elle faire l’objet de l’approbation préalable de la CCAMLR conformément à la décision 9 (2005)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t xml:space="preserve">7. Dans l’affirmative, l’approbation préalable de la CCAMLR a-t-elle été obtenue 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Dans l'affirmative, il con</w:t>
            </w:r>
            <w:r w:rsidR="002A62B9">
              <w:rPr>
                <w:i/>
              </w:rPr>
              <w:t>vient de préciser la référence d</w:t>
            </w:r>
            <w:r>
              <w:rPr>
                <w:i/>
              </w:rPr>
              <w:t xml:space="preserve">u paragraphe </w:t>
            </w:r>
            <w:r w:rsidR="002A62B9">
              <w:rPr>
                <w:i/>
              </w:rPr>
              <w:t xml:space="preserve">et du </w:t>
            </w:r>
            <w:r>
              <w:rPr>
                <w:i/>
              </w:rPr>
              <w:t>rapport final de la CCAMLR</w:t>
            </w:r>
            <w:r w:rsidR="002A62B9">
              <w:rPr>
                <w:i/>
              </w:rPr>
              <w:t xml:space="preserve"> correspondants</w:t>
            </w:r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applicable</w:t>
            </w:r>
          </w:p>
        </w:tc>
      </w:tr>
      <w:tr w:rsidR="00962992" w:rsidRPr="00CF468D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8. Si la proposition porte sur une ZSPA, </w:t>
            </w:r>
            <w:r>
              <w:rPr>
                <w:b/>
              </w:rPr>
              <w:lastRenderedPageBreak/>
              <w:t>quelle est la raison principale de la désignation (c’est-a-dire quel point de l’article 3.2 de l’annexe V) 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</w:pPr>
            <w:r>
              <w:lastRenderedPageBreak/>
              <w:t xml:space="preserve">C – zones caractérisées par une combinaison particulière </w:t>
            </w:r>
            <w:r>
              <w:lastRenderedPageBreak/>
              <w:t>d’espèces notamment de mammifères et de grandes colonies nicheuses d’oiseaux de mer indigènes.</w:t>
            </w:r>
          </w:p>
        </w:tc>
      </w:tr>
      <w:tr w:rsidR="00962992" w:rsidTr="00962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b/>
                <w:snapToGrid w:val="0"/>
              </w:rPr>
            </w:pPr>
            <w:r>
              <w:rPr>
                <w:b/>
              </w:rPr>
              <w:lastRenderedPageBreak/>
              <w:t xml:space="preserve">9. Le domaine environnemental principal représenté par la ZSPA/ZGSA a-t-il été identifié ? (se référer à l’« Analyse des domaines environnementaux du continent Antarctique » annexée à la Résolution 3 (2008)) ? Oui/non (Dans l’affirmative, le domaine environnemental principal doit être noté ici).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2" w:rsidRDefault="00962992">
            <w:pPr>
              <w:pStyle w:val="ATSNormal"/>
              <w:spacing w:line="276" w:lineRule="auto"/>
              <w:rPr>
                <w:snapToGrid w:val="0"/>
              </w:rPr>
            </w:pPr>
            <w:r>
              <w:t>Non classé</w:t>
            </w:r>
            <w:r>
              <w:br/>
            </w:r>
          </w:p>
        </w:tc>
      </w:tr>
    </w:tbl>
    <w:p w:rsidR="00962992" w:rsidRDefault="00962992" w:rsidP="00962992"/>
    <w:sectPr w:rsidR="00962992" w:rsidSect="00962992">
      <w:headerReference w:type="default" r:id="rId10"/>
      <w:footerReference w:type="default" r:id="rId11"/>
      <w:type w:val="oddPage"/>
      <w:pgSz w:w="11907" w:h="16840" w:code="9"/>
      <w:pgMar w:top="77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A8" w:rsidRDefault="008271A8">
      <w:r>
        <w:separator/>
      </w:r>
    </w:p>
  </w:endnote>
  <w:endnote w:type="continuationSeparator" w:id="1">
    <w:p w:rsidR="008271A8" w:rsidRDefault="0082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89" w:rsidRDefault="00830F2C" w:rsidP="00962992">
    <w:pPr>
      <w:framePr w:wrap="around" w:vAnchor="text" w:hAnchor="margin" w:xAlign="right" w:y="1"/>
    </w:pPr>
    <w:r>
      <w:fldChar w:fldCharType="begin"/>
    </w:r>
    <w:r w:rsidR="000C0489">
      <w:instrText xml:space="preserve">PAGE  </w:instrText>
    </w:r>
    <w:r>
      <w:fldChar w:fldCharType="end"/>
    </w:r>
  </w:p>
  <w:p w:rsidR="000C0489" w:rsidRDefault="000C0489" w:rsidP="0096299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89" w:rsidRDefault="00830F2C" w:rsidP="00962992">
    <w:pPr>
      <w:framePr w:wrap="around" w:vAnchor="text" w:hAnchor="margin" w:xAlign="right" w:y="1"/>
    </w:pPr>
    <w:r>
      <w:fldChar w:fldCharType="begin"/>
    </w:r>
    <w:r w:rsidR="000C0489">
      <w:instrText xml:space="preserve">PAGE  </w:instrText>
    </w:r>
    <w:r>
      <w:fldChar w:fldCharType="separate"/>
    </w:r>
    <w:r w:rsidR="00B06735">
      <w:rPr>
        <w:noProof/>
      </w:rPr>
      <w:t>1</w:t>
    </w:r>
    <w:r>
      <w:fldChar w:fldCharType="end"/>
    </w:r>
  </w:p>
  <w:p w:rsidR="000C0489" w:rsidRDefault="000C0489" w:rsidP="00962992">
    <w:pPr>
      <w:ind w:right="360"/>
    </w:pPr>
    <w:r>
      <w:t xml:space="preserve">Pièces jointes : </w:t>
    </w:r>
  </w:p>
  <w:p w:rsidR="000C0489" w:rsidRDefault="00B06735" w:rsidP="00962992">
    <w:pPr>
      <w:ind w:right="360"/>
    </w:pPr>
    <w:r>
      <w:t>Atcm37_att030_f</w:t>
    </w:r>
    <w:r w:rsidR="000C0489">
      <w:t>.doc : ZSPA n°169 Plan de gestion révisé</w:t>
    </w:r>
  </w:p>
  <w:p w:rsidR="000C0489" w:rsidRPr="004D149F" w:rsidRDefault="000C0489" w:rsidP="00962992">
    <w:pPr>
      <w:ind w:right="360"/>
      <w:rPr>
        <w:lang w:val="it-IT"/>
      </w:rPr>
    </w:pPr>
    <w:r w:rsidRPr="004D149F">
      <w:rPr>
        <w:lang w:val="it-IT"/>
      </w:rPr>
      <w:t xml:space="preserve">Atcm37_att031_e.pdf : ZSPA </w:t>
    </w:r>
    <w:r>
      <w:rPr>
        <w:lang w:val="it-IT"/>
      </w:rPr>
      <w:t>n°</w:t>
    </w:r>
    <w:r w:rsidRPr="004D149F">
      <w:rPr>
        <w:lang w:val="it-IT"/>
      </w:rPr>
      <w:t>169 Carte A</w:t>
    </w:r>
  </w:p>
  <w:p w:rsidR="000C0489" w:rsidRPr="004D149F" w:rsidRDefault="000C0489" w:rsidP="00962992">
    <w:pPr>
      <w:ind w:right="360"/>
      <w:rPr>
        <w:lang w:val="it-IT"/>
      </w:rPr>
    </w:pPr>
    <w:r w:rsidRPr="004D149F">
      <w:rPr>
        <w:lang w:val="it-IT"/>
      </w:rPr>
      <w:t xml:space="preserve">Atcm37_att032_e.pdf : ZSPA </w:t>
    </w:r>
    <w:r>
      <w:rPr>
        <w:lang w:val="it-IT"/>
      </w:rPr>
      <w:t>n°</w:t>
    </w:r>
    <w:r w:rsidRPr="004D149F">
      <w:rPr>
        <w:lang w:val="it-IT"/>
      </w:rPr>
      <w:t>169 Carte 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89" w:rsidRDefault="00830F2C" w:rsidP="00962992">
    <w:pPr>
      <w:framePr w:wrap="around" w:vAnchor="text" w:hAnchor="margin" w:xAlign="right" w:y="1"/>
    </w:pPr>
    <w:r>
      <w:fldChar w:fldCharType="begin"/>
    </w:r>
    <w:r w:rsidR="000C0489">
      <w:instrText xml:space="preserve">PAGE  </w:instrText>
    </w:r>
    <w:r>
      <w:fldChar w:fldCharType="separate"/>
    </w:r>
    <w:r w:rsidR="00B06735">
      <w:rPr>
        <w:noProof/>
      </w:rPr>
      <w:t>3</w:t>
    </w:r>
    <w:r>
      <w:fldChar w:fldCharType="end"/>
    </w:r>
  </w:p>
  <w:p w:rsidR="000C0489" w:rsidRDefault="000C0489" w:rsidP="0096299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A8" w:rsidRDefault="008271A8">
      <w:r>
        <w:separator/>
      </w:r>
    </w:p>
  </w:footnote>
  <w:footnote w:type="continuationSeparator" w:id="1">
    <w:p w:rsidR="008271A8" w:rsidRDefault="0082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2" w:type="dxa"/>
      <w:jc w:val="center"/>
      <w:tblLook w:val="01E0"/>
    </w:tblPr>
    <w:tblGrid>
      <w:gridCol w:w="5549"/>
      <w:gridCol w:w="3490"/>
      <w:gridCol w:w="709"/>
      <w:gridCol w:w="1134"/>
      <w:gridCol w:w="390"/>
    </w:tblGrid>
    <w:tr w:rsidR="000C0489" w:rsidTr="00962992">
      <w:trPr>
        <w:trHeight w:val="344"/>
        <w:jc w:val="center"/>
      </w:trPr>
      <w:tc>
        <w:tcPr>
          <w:tcW w:w="5549" w:type="dxa"/>
        </w:tcPr>
        <w:p w:rsidR="000C0489" w:rsidRDefault="000C0489" w:rsidP="00962992"/>
      </w:tc>
      <w:tc>
        <w:tcPr>
          <w:tcW w:w="4199" w:type="dxa"/>
          <w:gridSpan w:val="2"/>
        </w:tcPr>
        <w:p w:rsidR="000C0489" w:rsidRPr="00BD47E4" w:rsidRDefault="000C0489" w:rsidP="00962992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</w:rPr>
            <w:t>WP</w:t>
          </w:r>
        </w:p>
      </w:tc>
      <w:tc>
        <w:tcPr>
          <w:tcW w:w="1524" w:type="dxa"/>
          <w:gridSpan w:val="2"/>
        </w:tcPr>
        <w:p w:rsidR="000C0489" w:rsidRPr="00BD47E4" w:rsidRDefault="000C0489" w:rsidP="00962992">
          <w:pPr>
            <w:rPr>
              <w:b/>
              <w:sz w:val="32"/>
              <w:szCs w:val="32"/>
            </w:rPr>
          </w:pPr>
          <w:r>
            <w:rPr>
              <w:b/>
              <w:sz w:val="32"/>
            </w:rPr>
            <w:t>18</w:t>
          </w:r>
        </w:p>
      </w:tc>
    </w:tr>
    <w:tr w:rsidR="000C0489" w:rsidTr="00962992">
      <w:trPr>
        <w:trHeight w:val="2165"/>
        <w:jc w:val="center"/>
      </w:trPr>
      <w:tc>
        <w:tcPr>
          <w:tcW w:w="11272" w:type="dxa"/>
          <w:gridSpan w:val="5"/>
        </w:tcPr>
        <w:p w:rsidR="000C0489" w:rsidRPr="00EE4D48" w:rsidRDefault="00830F2C" w:rsidP="00962992">
          <w:pPr>
            <w:rPr>
              <w:b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05pt;height:108pt">
                <v:imagedata r:id="rId1" o:title="logo-chico"/>
              </v:shape>
            </w:pict>
          </w:r>
        </w:p>
      </w:tc>
    </w:tr>
    <w:tr w:rsidR="000C0489" w:rsidTr="00962992">
      <w:trPr>
        <w:trHeight w:val="409"/>
        <w:jc w:val="center"/>
      </w:trPr>
      <w:tc>
        <w:tcPr>
          <w:tcW w:w="9039" w:type="dxa"/>
          <w:gridSpan w:val="2"/>
        </w:tcPr>
        <w:p w:rsidR="000C0489" w:rsidRDefault="000C0489" w:rsidP="00962992">
          <w:pPr>
            <w:jc w:val="right"/>
          </w:pPr>
          <w:r>
            <w:t>Point de l’ordre du jour :</w:t>
          </w:r>
        </w:p>
      </w:tc>
      <w:tc>
        <w:tcPr>
          <w:tcW w:w="1843" w:type="dxa"/>
          <w:gridSpan w:val="2"/>
        </w:tcPr>
        <w:p w:rsidR="000C0489" w:rsidRDefault="000C0489" w:rsidP="00962992">
          <w:pPr>
            <w:jc w:val="right"/>
          </w:pPr>
          <w:r>
            <w:t>CPE 9a</w:t>
          </w:r>
        </w:p>
      </w:tc>
      <w:tc>
        <w:tcPr>
          <w:tcW w:w="390" w:type="dxa"/>
        </w:tcPr>
        <w:p w:rsidR="000C0489" w:rsidRDefault="000C0489" w:rsidP="00962992">
          <w:pPr>
            <w:jc w:val="right"/>
          </w:pPr>
        </w:p>
      </w:tc>
    </w:tr>
    <w:tr w:rsidR="000C0489" w:rsidTr="00962992">
      <w:trPr>
        <w:trHeight w:val="397"/>
        <w:jc w:val="center"/>
      </w:trPr>
      <w:tc>
        <w:tcPr>
          <w:tcW w:w="9039" w:type="dxa"/>
          <w:gridSpan w:val="2"/>
        </w:tcPr>
        <w:p w:rsidR="000C0489" w:rsidRDefault="000C0489" w:rsidP="00962992">
          <w:pPr>
            <w:jc w:val="right"/>
          </w:pPr>
          <w:r>
            <w:t>Présenté par :</w:t>
          </w:r>
        </w:p>
      </w:tc>
      <w:tc>
        <w:tcPr>
          <w:tcW w:w="1843" w:type="dxa"/>
          <w:gridSpan w:val="2"/>
        </w:tcPr>
        <w:p w:rsidR="000C0489" w:rsidRDefault="000C0489" w:rsidP="00962992">
          <w:pPr>
            <w:jc w:val="right"/>
          </w:pPr>
          <w:r>
            <w:t>Australie, Chine</w:t>
          </w:r>
        </w:p>
      </w:tc>
      <w:tc>
        <w:tcPr>
          <w:tcW w:w="390" w:type="dxa"/>
        </w:tcPr>
        <w:p w:rsidR="000C0489" w:rsidRDefault="000C0489" w:rsidP="00962992">
          <w:pPr>
            <w:jc w:val="right"/>
          </w:pPr>
        </w:p>
      </w:tc>
    </w:tr>
    <w:tr w:rsidR="000C0489" w:rsidTr="00962992">
      <w:trPr>
        <w:trHeight w:val="409"/>
        <w:jc w:val="center"/>
      </w:trPr>
      <w:tc>
        <w:tcPr>
          <w:tcW w:w="9039" w:type="dxa"/>
          <w:gridSpan w:val="2"/>
        </w:tcPr>
        <w:p w:rsidR="000C0489" w:rsidRDefault="000C0489" w:rsidP="00962992">
          <w:pPr>
            <w:jc w:val="right"/>
          </w:pPr>
          <w:r>
            <w:t>Original :</w:t>
          </w:r>
        </w:p>
      </w:tc>
      <w:tc>
        <w:tcPr>
          <w:tcW w:w="1843" w:type="dxa"/>
          <w:gridSpan w:val="2"/>
        </w:tcPr>
        <w:p w:rsidR="000C0489" w:rsidRDefault="000C0489" w:rsidP="00962992">
          <w:pPr>
            <w:jc w:val="right"/>
          </w:pPr>
          <w:r>
            <w:t>Anglais</w:t>
          </w:r>
        </w:p>
      </w:tc>
      <w:tc>
        <w:tcPr>
          <w:tcW w:w="390" w:type="dxa"/>
        </w:tcPr>
        <w:p w:rsidR="000C0489" w:rsidRDefault="000C0489" w:rsidP="00962992">
          <w:pPr>
            <w:jc w:val="right"/>
          </w:pPr>
        </w:p>
      </w:tc>
    </w:tr>
    <w:tr w:rsidR="000C0489" w:rsidTr="00962992">
      <w:trPr>
        <w:trHeight w:val="409"/>
        <w:jc w:val="center"/>
      </w:trPr>
      <w:tc>
        <w:tcPr>
          <w:tcW w:w="9039" w:type="dxa"/>
          <w:gridSpan w:val="2"/>
        </w:tcPr>
        <w:p w:rsidR="000C0489" w:rsidRDefault="000C0489" w:rsidP="00962992">
          <w:pPr>
            <w:jc w:val="right"/>
          </w:pPr>
          <w:r>
            <w:t>Soumis le :</w:t>
          </w:r>
        </w:p>
      </w:tc>
      <w:tc>
        <w:tcPr>
          <w:tcW w:w="1843" w:type="dxa"/>
          <w:gridSpan w:val="2"/>
        </w:tcPr>
        <w:p w:rsidR="000C0489" w:rsidRDefault="000C0489" w:rsidP="00962992">
          <w:pPr>
            <w:jc w:val="right"/>
          </w:pPr>
          <w:r>
            <w:t>14/03/2014</w:t>
          </w:r>
        </w:p>
      </w:tc>
      <w:tc>
        <w:tcPr>
          <w:tcW w:w="390" w:type="dxa"/>
        </w:tcPr>
        <w:p w:rsidR="000C0489" w:rsidRDefault="000C0489" w:rsidP="00962992">
          <w:pPr>
            <w:jc w:val="right"/>
          </w:pPr>
        </w:p>
      </w:tc>
    </w:tr>
  </w:tbl>
  <w:p w:rsidR="000C0489" w:rsidRDefault="000C04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6" w:type="dxa"/>
      <w:jc w:val="center"/>
      <w:tblLook w:val="01E0"/>
    </w:tblPr>
    <w:tblGrid>
      <w:gridCol w:w="9694"/>
      <w:gridCol w:w="1332"/>
    </w:tblGrid>
    <w:tr w:rsidR="000C0489" w:rsidRPr="0087014A">
      <w:trPr>
        <w:trHeight w:val="354"/>
        <w:jc w:val="center"/>
      </w:trPr>
      <w:tc>
        <w:tcPr>
          <w:tcW w:w="9694" w:type="dxa"/>
        </w:tcPr>
        <w:p w:rsidR="000C0489" w:rsidRPr="00BD47E4" w:rsidRDefault="000C0489" w:rsidP="00962992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</w:rPr>
            <w:t>WP</w:t>
          </w:r>
        </w:p>
      </w:tc>
      <w:tc>
        <w:tcPr>
          <w:tcW w:w="1332" w:type="dxa"/>
        </w:tcPr>
        <w:p w:rsidR="000C0489" w:rsidRPr="00BD47E4" w:rsidRDefault="000C0489" w:rsidP="00962992">
          <w:pPr>
            <w:rPr>
              <w:b/>
              <w:sz w:val="32"/>
              <w:szCs w:val="32"/>
            </w:rPr>
          </w:pPr>
          <w:r>
            <w:rPr>
              <w:b/>
              <w:sz w:val="32"/>
            </w:rPr>
            <w:t>18</w:t>
          </w:r>
        </w:p>
      </w:tc>
    </w:tr>
  </w:tbl>
  <w:p w:rsidR="000C0489" w:rsidRDefault="000C04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449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0EC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B63E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D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14C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141F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A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8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C1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C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946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6577EA"/>
    <w:multiLevelType w:val="hybridMultilevel"/>
    <w:tmpl w:val="21A63D98"/>
    <w:lvl w:ilvl="0" w:tplc="E29E4A42">
      <w:start w:val="1"/>
      <w:numFmt w:val="bullet"/>
      <w:pStyle w:val="AT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F1A0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83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A8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36E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C0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03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269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35C15"/>
    <w:multiLevelType w:val="hybridMultilevel"/>
    <w:tmpl w:val="A8A2E45C"/>
    <w:lvl w:ilvl="0" w:tplc="856268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C40B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0B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4F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80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42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88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6D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E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31A8D"/>
    <w:multiLevelType w:val="hybridMultilevel"/>
    <w:tmpl w:val="953822A6"/>
    <w:lvl w:ilvl="0" w:tplc="641CE3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92C0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41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6E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A89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A1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2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F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87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F3AFA"/>
    <w:multiLevelType w:val="hybridMultilevel"/>
    <w:tmpl w:val="9DF09BE6"/>
    <w:lvl w:ilvl="0" w:tplc="72549C52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9A005858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827A06E2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6F0CC364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80780E20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5E24233C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4210DDA0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C1B6EB64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C96256C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5">
    <w:nsid w:val="7212657C"/>
    <w:multiLevelType w:val="hybridMultilevel"/>
    <w:tmpl w:val="0A8E2A84"/>
    <w:lvl w:ilvl="0" w:tplc="2026B37C">
      <w:start w:val="1"/>
      <w:numFmt w:val="decimal"/>
      <w:pStyle w:val="ATSNumber1"/>
      <w:lvlText w:val="%1)"/>
      <w:lvlJc w:val="left"/>
      <w:pPr>
        <w:tabs>
          <w:tab w:val="num" w:pos="720"/>
        </w:tabs>
        <w:ind w:left="720" w:hanging="360"/>
      </w:pPr>
    </w:lvl>
    <w:lvl w:ilvl="1" w:tplc="2C704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AC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8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09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80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A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5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D2161"/>
    <w:multiLevelType w:val="hybridMultilevel"/>
    <w:tmpl w:val="B0868D9E"/>
    <w:lvl w:ilvl="0" w:tplc="A20AEA40">
      <w:start w:val="1"/>
      <w:numFmt w:val="bullet"/>
      <w:pStyle w:val="ATSBulle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58C29808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116E1BD8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7A6C0C1E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611C09B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D71ABA2E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1243ED6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E2A2730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DD06DD70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>
    <w:nsid w:val="792E3EF3"/>
    <w:multiLevelType w:val="hybridMultilevel"/>
    <w:tmpl w:val="87B22E5A"/>
    <w:lvl w:ilvl="0" w:tplc="87CE88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80E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64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CA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23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E2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CA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AE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3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66FC0"/>
    <w:multiLevelType w:val="hybridMultilevel"/>
    <w:tmpl w:val="57EA2900"/>
    <w:lvl w:ilvl="0" w:tplc="DF5ED010">
      <w:start w:val="1"/>
      <w:numFmt w:val="decimal"/>
      <w:pStyle w:val="ATS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62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89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E7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0E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22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EE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C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001"/>
  <w:doNotTrackMoves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68D"/>
    <w:rsid w:val="000C0489"/>
    <w:rsid w:val="002A62B9"/>
    <w:rsid w:val="003D39D4"/>
    <w:rsid w:val="004D149F"/>
    <w:rsid w:val="008271A8"/>
    <w:rsid w:val="00830F2C"/>
    <w:rsid w:val="00962992"/>
    <w:rsid w:val="00B06735"/>
    <w:rsid w:val="00B353F1"/>
    <w:rsid w:val="00CF468D"/>
    <w:rsid w:val="00E7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89F"/>
    <w:rPr>
      <w:sz w:val="22"/>
      <w:szCs w:val="24"/>
    </w:rPr>
  </w:style>
  <w:style w:type="paragraph" w:styleId="Ttulo1">
    <w:name w:val="heading 1"/>
    <w:basedOn w:val="Normal"/>
    <w:next w:val="Normal"/>
    <w:qFormat/>
    <w:rsid w:val="001B789F"/>
    <w:pPr>
      <w:keepNext/>
      <w:spacing w:before="180" w:after="3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Ttulo2">
    <w:name w:val="heading 2"/>
    <w:basedOn w:val="Normal"/>
    <w:next w:val="Normal"/>
    <w:qFormat/>
    <w:rsid w:val="001B789F"/>
    <w:pPr>
      <w:keepNext/>
      <w:spacing w:before="120" w:after="240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1B789F"/>
    <w:pPr>
      <w:keepNext/>
      <w:spacing w:before="120" w:after="180"/>
      <w:outlineLvl w:val="2"/>
    </w:pPr>
    <w:rPr>
      <w:rFonts w:eastAsia="SimSun"/>
      <w:b/>
      <w:sz w:val="24"/>
      <w:szCs w:val="20"/>
    </w:rPr>
  </w:style>
  <w:style w:type="paragraph" w:styleId="Ttulo4">
    <w:name w:val="heading 4"/>
    <w:basedOn w:val="Normal"/>
    <w:next w:val="Normal"/>
    <w:qFormat/>
    <w:rsid w:val="001B789F"/>
    <w:pPr>
      <w:keepNext/>
      <w:spacing w:before="60" w:after="12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1B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B789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B789F"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B789F"/>
    <w:p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1B789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SNormal">
    <w:name w:val="ATS Normal"/>
    <w:basedOn w:val="Normal"/>
    <w:link w:val="ATSNormalChar"/>
    <w:qFormat/>
    <w:rsid w:val="001B789F"/>
    <w:pPr>
      <w:spacing w:before="120" w:after="120"/>
    </w:pPr>
  </w:style>
  <w:style w:type="paragraph" w:customStyle="1" w:styleId="ATSBullet1">
    <w:name w:val="ATS Bullet 1"/>
    <w:basedOn w:val="ATSNormal"/>
    <w:qFormat/>
    <w:rsid w:val="001B789F"/>
    <w:pPr>
      <w:numPr>
        <w:numId w:val="17"/>
      </w:numPr>
      <w:spacing w:before="60" w:after="0"/>
    </w:pPr>
  </w:style>
  <w:style w:type="paragraph" w:customStyle="1" w:styleId="ATSBullet2">
    <w:name w:val="ATS Bullet 2"/>
    <w:basedOn w:val="ATSNormal"/>
    <w:qFormat/>
    <w:rsid w:val="001B789F"/>
    <w:pPr>
      <w:numPr>
        <w:numId w:val="18"/>
      </w:numPr>
      <w:tabs>
        <w:tab w:val="left" w:pos="720"/>
      </w:tabs>
      <w:spacing w:before="60" w:after="0"/>
    </w:pPr>
  </w:style>
  <w:style w:type="paragraph" w:customStyle="1" w:styleId="ATSCompact">
    <w:name w:val="ATS Compact"/>
    <w:basedOn w:val="ATSNormal"/>
    <w:qFormat/>
    <w:rsid w:val="001B789F"/>
    <w:pPr>
      <w:spacing w:before="0" w:after="0"/>
    </w:pPr>
  </w:style>
  <w:style w:type="paragraph" w:customStyle="1" w:styleId="ATSHeading1">
    <w:name w:val="ATS Heading 1"/>
    <w:basedOn w:val="ATSNormal"/>
    <w:next w:val="ATSNormal"/>
    <w:qFormat/>
    <w:rsid w:val="001B789F"/>
    <w:pPr>
      <w:spacing w:before="360" w:after="360"/>
      <w:jc w:val="center"/>
    </w:pPr>
    <w:rPr>
      <w:rFonts w:ascii="Arial" w:hAnsi="Arial"/>
      <w:b/>
      <w:sz w:val="32"/>
    </w:rPr>
  </w:style>
  <w:style w:type="paragraph" w:customStyle="1" w:styleId="ATSHeading2">
    <w:name w:val="ATS Heading 2"/>
    <w:basedOn w:val="ATSNormal"/>
    <w:next w:val="ATSNormal"/>
    <w:qFormat/>
    <w:rsid w:val="001B789F"/>
    <w:pPr>
      <w:spacing w:before="480"/>
      <w:jc w:val="both"/>
    </w:pPr>
    <w:rPr>
      <w:rFonts w:ascii="Arial" w:hAnsi="Arial"/>
      <w:b/>
      <w:i/>
      <w:sz w:val="24"/>
      <w:szCs w:val="22"/>
    </w:rPr>
  </w:style>
  <w:style w:type="paragraph" w:customStyle="1" w:styleId="ATSHeading3">
    <w:name w:val="ATS Heading 3"/>
    <w:basedOn w:val="ATSNormal"/>
    <w:next w:val="ATSNormal"/>
    <w:qFormat/>
    <w:rsid w:val="001B789F"/>
    <w:pPr>
      <w:spacing w:before="240" w:after="60"/>
    </w:pPr>
    <w:rPr>
      <w:b/>
    </w:rPr>
  </w:style>
  <w:style w:type="paragraph" w:customStyle="1" w:styleId="ATSHeading4">
    <w:name w:val="ATS Heading 4"/>
    <w:basedOn w:val="ATSNormal"/>
    <w:next w:val="ATSNormal"/>
    <w:qFormat/>
    <w:rsid w:val="001B789F"/>
    <w:pPr>
      <w:spacing w:before="240" w:after="60"/>
    </w:pPr>
    <w:rPr>
      <w:i/>
    </w:rPr>
  </w:style>
  <w:style w:type="paragraph" w:customStyle="1" w:styleId="AtsNumber">
    <w:name w:val="Ats Number"/>
    <w:basedOn w:val="ATSNormal"/>
    <w:qFormat/>
    <w:rsid w:val="001B789F"/>
    <w:pPr>
      <w:spacing w:before="60" w:after="0"/>
    </w:pPr>
  </w:style>
  <w:style w:type="paragraph" w:customStyle="1" w:styleId="ATSNumber1">
    <w:name w:val="ATS Number 1"/>
    <w:basedOn w:val="ATSNormal"/>
    <w:qFormat/>
    <w:rsid w:val="001B789F"/>
    <w:pPr>
      <w:numPr>
        <w:numId w:val="19"/>
      </w:numPr>
      <w:spacing w:before="60" w:after="0"/>
    </w:pPr>
  </w:style>
  <w:style w:type="paragraph" w:customStyle="1" w:styleId="ATSNumber2">
    <w:name w:val="ATS Number 2"/>
    <w:basedOn w:val="ATSNormal"/>
    <w:autoRedefine/>
    <w:qFormat/>
    <w:rsid w:val="001B789F"/>
    <w:pPr>
      <w:numPr>
        <w:numId w:val="20"/>
      </w:numPr>
      <w:spacing w:after="0"/>
      <w:jc w:val="both"/>
    </w:pPr>
  </w:style>
  <w:style w:type="paragraph" w:customStyle="1" w:styleId="ATSQuote">
    <w:name w:val="ATS Quote"/>
    <w:basedOn w:val="Normal"/>
    <w:qFormat/>
    <w:rsid w:val="001B789F"/>
    <w:pPr>
      <w:ind w:left="357"/>
    </w:pPr>
    <w:rPr>
      <w:i/>
      <w:szCs w:val="18"/>
    </w:rPr>
  </w:style>
  <w:style w:type="paragraph" w:customStyle="1" w:styleId="ATSTitle">
    <w:name w:val="ATS Title"/>
    <w:basedOn w:val="Normal"/>
    <w:qFormat/>
    <w:rsid w:val="001B789F"/>
    <w:pPr>
      <w:spacing w:before="360" w:after="360"/>
      <w:contextualSpacing/>
      <w:jc w:val="center"/>
    </w:pPr>
    <w:rPr>
      <w:rFonts w:ascii="Arial" w:hAnsi="Arial"/>
      <w:b/>
      <w:sz w:val="48"/>
    </w:rPr>
  </w:style>
  <w:style w:type="paragraph" w:styleId="Textodeglobo">
    <w:name w:val="Balloon Text"/>
    <w:basedOn w:val="Normal"/>
    <w:semiHidden/>
    <w:rsid w:val="001B789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Fuentedeprrafopredeter"/>
    <w:semiHidden/>
    <w:rsid w:val="001B789F"/>
    <w:rPr>
      <w:sz w:val="24"/>
      <w:szCs w:val="22"/>
      <w:lang w:val="fr-FR" w:eastAsia="fr-FR" w:bidi="ar-SA"/>
    </w:rPr>
  </w:style>
  <w:style w:type="character" w:customStyle="1" w:styleId="CharacterStyle1">
    <w:name w:val="Character Style 1"/>
    <w:semiHidden/>
    <w:rsid w:val="001B789F"/>
    <w:rPr>
      <w:sz w:val="22"/>
      <w:szCs w:val="22"/>
      <w:lang w:val="fr-FR" w:eastAsia="fr-FR"/>
    </w:rPr>
  </w:style>
  <w:style w:type="character" w:customStyle="1" w:styleId="descriptions1">
    <w:name w:val="descriptions1"/>
    <w:basedOn w:val="Fuentedeprrafopredeter"/>
    <w:semiHidden/>
    <w:rsid w:val="001B789F"/>
    <w:rPr>
      <w:rFonts w:ascii="Verdana" w:hAnsi="Verdana" w:hint="default"/>
      <w:b/>
      <w:bCs/>
      <w:color w:val="585858"/>
      <w:sz w:val="12"/>
      <w:szCs w:val="12"/>
      <w:lang w:val="fr-FR" w:eastAsia="fr-FR"/>
    </w:rPr>
  </w:style>
  <w:style w:type="paragraph" w:styleId="Mapadeldocumento">
    <w:name w:val="Document Map"/>
    <w:basedOn w:val="Normal"/>
    <w:semiHidden/>
    <w:rsid w:val="001B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notaalfinal">
    <w:name w:val="endnote reference"/>
    <w:basedOn w:val="Fuentedeprrafopredeter"/>
    <w:semiHidden/>
    <w:rsid w:val="001B789F"/>
    <w:rPr>
      <w:vertAlign w:val="superscript"/>
      <w:lang w:val="fr-FR" w:eastAsia="fr-FR"/>
    </w:rPr>
  </w:style>
  <w:style w:type="paragraph" w:styleId="Textonotaalfinal">
    <w:name w:val="endnote text"/>
    <w:basedOn w:val="Normal"/>
    <w:semiHidden/>
    <w:rsid w:val="001B789F"/>
    <w:rPr>
      <w:sz w:val="20"/>
      <w:szCs w:val="20"/>
    </w:rPr>
  </w:style>
  <w:style w:type="character" w:styleId="Hipervnculovisitado">
    <w:name w:val="FollowedHyperlink"/>
    <w:basedOn w:val="Fuentedeprrafopredeter"/>
    <w:semiHidden/>
    <w:rsid w:val="001B789F"/>
    <w:rPr>
      <w:color w:val="800080"/>
      <w:u w:val="single"/>
      <w:lang w:val="fr-FR" w:eastAsia="fr-FR"/>
    </w:rPr>
  </w:style>
  <w:style w:type="paragraph" w:styleId="Piedepgina">
    <w:name w:val="foot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Refdenotaalpie">
    <w:name w:val="footnote reference"/>
    <w:basedOn w:val="Fuentedeprrafopredeter"/>
    <w:rsid w:val="001B789F"/>
    <w:rPr>
      <w:vertAlign w:val="superscript"/>
      <w:lang w:val="fr-FR" w:eastAsia="fr-FR"/>
    </w:rPr>
  </w:style>
  <w:style w:type="paragraph" w:styleId="Textonotapie">
    <w:name w:val="footnote text"/>
    <w:basedOn w:val="Normal"/>
    <w:rsid w:val="001B789F"/>
    <w:rPr>
      <w:szCs w:val="22"/>
    </w:rPr>
  </w:style>
  <w:style w:type="paragraph" w:styleId="Encabezado">
    <w:name w:val="head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1B789F"/>
    <w:rPr>
      <w:color w:val="660000"/>
      <w:u w:val="single"/>
      <w:lang w:val="fr-FR" w:eastAsia="fr-FR"/>
    </w:rPr>
  </w:style>
  <w:style w:type="paragraph" w:styleId="NormalWeb">
    <w:name w:val="Normal (Web)"/>
    <w:basedOn w:val="Normal"/>
    <w:semiHidden/>
    <w:rsid w:val="001B789F"/>
    <w:pPr>
      <w:spacing w:before="100" w:beforeAutospacing="1" w:after="100" w:afterAutospac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1B789F"/>
  </w:style>
  <w:style w:type="character" w:styleId="Textoennegrita">
    <w:name w:val="Strong"/>
    <w:basedOn w:val="Fuentedeprrafopredeter"/>
    <w:qFormat/>
    <w:rsid w:val="001B789F"/>
    <w:rPr>
      <w:b/>
      <w:bCs/>
      <w:lang w:val="fr-FR" w:eastAsia="fr-FR"/>
    </w:rPr>
  </w:style>
  <w:style w:type="table" w:styleId="Tablaconcuadrcula">
    <w:name w:val="Table Grid"/>
    <w:basedOn w:val="Tablanormal"/>
    <w:semiHidden/>
    <w:rsid w:val="001B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1">
    <w:name w:val="tag1"/>
    <w:basedOn w:val="Fuentedeprrafopredeter"/>
    <w:semiHidden/>
    <w:rsid w:val="001B789F"/>
    <w:rPr>
      <w:rFonts w:ascii="Verdana" w:hAnsi="Verdana" w:hint="default"/>
      <w:color w:val="585858"/>
      <w:sz w:val="12"/>
      <w:szCs w:val="12"/>
      <w:u w:val="none"/>
      <w:effect w:val="none"/>
      <w:lang w:val="fr-FR" w:eastAsia="fr-FR"/>
    </w:rPr>
  </w:style>
  <w:style w:type="paragraph" w:customStyle="1" w:styleId="TexteFr">
    <w:name w:val="TexteFr"/>
    <w:basedOn w:val="Normal"/>
    <w:semiHidden/>
    <w:rsid w:val="001B7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auto"/>
      <w:tabs>
        <w:tab w:val="left" w:pos="1711"/>
        <w:tab w:val="left" w:pos="2209"/>
        <w:tab w:val="left" w:pos="2760"/>
        <w:tab w:val="left" w:pos="5101"/>
        <w:tab w:val="left" w:pos="5886"/>
        <w:tab w:val="left" w:pos="7128"/>
      </w:tabs>
      <w:ind w:left="272" w:hanging="272"/>
      <w:jc w:val="both"/>
    </w:pPr>
    <w:rPr>
      <w:szCs w:val="22"/>
    </w:rPr>
  </w:style>
  <w:style w:type="paragraph" w:customStyle="1" w:styleId="TextEn">
    <w:name w:val="TextEn"/>
    <w:basedOn w:val="Normal"/>
    <w:semiHidden/>
    <w:rsid w:val="001B789F"/>
    <w:pPr>
      <w:spacing w:after="120"/>
    </w:pPr>
    <w:rPr>
      <w:szCs w:val="22"/>
    </w:rPr>
  </w:style>
  <w:style w:type="paragraph" w:customStyle="1" w:styleId="TextEnSingle">
    <w:name w:val="TextEnSingle"/>
    <w:basedOn w:val="TextEn"/>
    <w:semiHidden/>
    <w:rsid w:val="001B789F"/>
    <w:pPr>
      <w:spacing w:after="0"/>
    </w:pPr>
  </w:style>
  <w:style w:type="paragraph" w:customStyle="1" w:styleId="TextSp">
    <w:name w:val="TextSp"/>
    <w:basedOn w:val="Normal"/>
    <w:semiHidden/>
    <w:rsid w:val="001B789F"/>
    <w:pPr>
      <w:spacing w:after="120"/>
    </w:pPr>
    <w:rPr>
      <w:szCs w:val="22"/>
    </w:rPr>
  </w:style>
  <w:style w:type="paragraph" w:styleId="TDC1">
    <w:name w:val="toc 1"/>
    <w:basedOn w:val="Normal"/>
    <w:next w:val="Normal"/>
    <w:autoRedefine/>
    <w:semiHidden/>
    <w:rsid w:val="001B789F"/>
    <w:rPr>
      <w:b/>
      <w:bCs/>
      <w:i/>
      <w:iCs/>
      <w:sz w:val="24"/>
    </w:rPr>
  </w:style>
  <w:style w:type="paragraph" w:styleId="TDC2">
    <w:name w:val="toc 2"/>
    <w:basedOn w:val="Normal"/>
    <w:next w:val="Normal"/>
    <w:autoRedefine/>
    <w:semiHidden/>
    <w:rsid w:val="001B789F"/>
    <w:pPr>
      <w:ind w:left="220"/>
    </w:pPr>
    <w:rPr>
      <w:b/>
      <w:bCs/>
      <w:szCs w:val="22"/>
    </w:rPr>
  </w:style>
  <w:style w:type="paragraph" w:styleId="TDC3">
    <w:name w:val="toc 3"/>
    <w:basedOn w:val="Normal"/>
    <w:next w:val="Normal"/>
    <w:autoRedefine/>
    <w:semiHidden/>
    <w:rsid w:val="001B789F"/>
    <w:pPr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1B789F"/>
    <w:pPr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1B789F"/>
    <w:pPr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1B789F"/>
    <w:pPr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1B789F"/>
    <w:pPr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1B789F"/>
    <w:pPr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1B789F"/>
    <w:pPr>
      <w:ind w:left="1760"/>
    </w:pPr>
    <w:rPr>
      <w:sz w:val="20"/>
      <w:szCs w:val="20"/>
    </w:rPr>
  </w:style>
  <w:style w:type="paragraph" w:customStyle="1" w:styleId="TytApp">
    <w:name w:val="Tyt. App."/>
    <w:basedOn w:val="Normal"/>
    <w:autoRedefine/>
    <w:semiHidden/>
    <w:rsid w:val="001B789F"/>
    <w:pPr>
      <w:widowControl w:val="0"/>
      <w:numPr>
        <w:ilvl w:val="12"/>
      </w:numPr>
      <w:tabs>
        <w:tab w:val="left" w:pos="90"/>
        <w:tab w:val="left" w:pos="737"/>
        <w:tab w:val="left" w:pos="2835"/>
      </w:tabs>
      <w:spacing w:before="180" w:after="40" w:line="260" w:lineRule="exact"/>
      <w:jc w:val="center"/>
    </w:pPr>
    <w:rPr>
      <w:b/>
      <w:snapToGrid w:val="0"/>
      <w:color w:val="000000"/>
      <w:sz w:val="24"/>
      <w:szCs w:val="20"/>
    </w:rPr>
  </w:style>
  <w:style w:type="paragraph" w:customStyle="1" w:styleId="Prrafodelista1">
    <w:name w:val="Párrafo de lista1"/>
    <w:basedOn w:val="Normal"/>
    <w:uiPriority w:val="34"/>
    <w:rsid w:val="00BF077B"/>
    <w:pPr>
      <w:ind w:left="720"/>
    </w:pPr>
  </w:style>
  <w:style w:type="character" w:customStyle="1" w:styleId="Ttulodellibro1">
    <w:name w:val="Título del libro1"/>
    <w:basedOn w:val="Fuentedeprrafopredeter"/>
    <w:uiPriority w:val="33"/>
    <w:rsid w:val="00BF077B"/>
    <w:rPr>
      <w:b/>
      <w:bCs/>
      <w:smallCaps/>
      <w:spacing w:val="5"/>
      <w:lang w:val="fr-FR" w:eastAsia="fr-FR"/>
    </w:rPr>
  </w:style>
  <w:style w:type="paragraph" w:customStyle="1" w:styleId="ATSMeasureEmphasis">
    <w:name w:val="ATS Measure Emphasis"/>
    <w:basedOn w:val="Normal"/>
    <w:qFormat/>
    <w:rsid w:val="009E64FE"/>
    <w:pPr>
      <w:spacing w:before="120" w:after="360"/>
    </w:pPr>
    <w:rPr>
      <w:b/>
      <w:sz w:val="24"/>
    </w:rPr>
  </w:style>
  <w:style w:type="character" w:customStyle="1" w:styleId="ATSNormalChar">
    <w:name w:val="ATS Normal Char"/>
    <w:basedOn w:val="Fuentedeprrafopredeter"/>
    <w:link w:val="ATSNormal"/>
    <w:locked/>
    <w:rsid w:val="00CF468D"/>
    <w:rPr>
      <w:sz w:val="22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asic%20Data\ATCM\ATCM37\templates\atcm37_pap_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atcm37_pap_e</Template>
  <TotalTime>14</TotalTime>
  <Pages>6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(Paper title:)</vt:lpstr>
    </vt:vector>
  </TitlesOfParts>
  <Company>River Plate SA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(Paper title:)</dc:title>
  <dc:subject/>
  <dc:creator>Jlagraz</dc:creator>
  <cp:keywords/>
  <dc:description/>
  <cp:lastModifiedBy>propietario</cp:lastModifiedBy>
  <cp:revision>8</cp:revision>
  <cp:lastPrinted>2008-01-22T15:20:00Z</cp:lastPrinted>
  <dcterms:created xsi:type="dcterms:W3CDTF">2014-03-17T14:04:00Z</dcterms:created>
  <dcterms:modified xsi:type="dcterms:W3CDTF">2014-04-09T15:51:00Z</dcterms:modified>
</cp:coreProperties>
</file>